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10070E">
        <w:rPr>
          <w:rFonts w:ascii="Times New Roman" w:hAnsi="Times New Roman"/>
          <w:b/>
          <w:sz w:val="20"/>
          <w:szCs w:val="20"/>
          <w:lang w:val="uk-UA"/>
        </w:rPr>
        <w:t>11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10070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10070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10070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10070E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  <w:p w:rsidR="002F2DE6" w:rsidRDefault="002F2DE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Про прийняття </w:t>
            </w:r>
            <w:r w:rsidR="001B6310">
              <w:rPr>
                <w:rFonts w:ascii="Times New Roman" w:hAnsi="Times New Roman"/>
                <w:sz w:val="20"/>
                <w:szCs w:val="20"/>
                <w:lang w:val="uk-UA"/>
              </w:rPr>
              <w:t>нормативно-правових актів стосовно правового режиму воєнного стану.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адреси пунктів видачі гуманітарної допомоги.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гуманітарної допомоги.</w:t>
            </w:r>
          </w:p>
          <w:p w:rsidR="0010070E" w:rsidRPr="005404B5" w:rsidRDefault="0010070E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Щодо воєнних злочинів, вчинених російською федерацією.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61FB-5A22-4287-806E-2E07848C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2022-11-01T06:47:00Z</dcterms:created>
  <dcterms:modified xsi:type="dcterms:W3CDTF">2022-11-01T06:48:00Z</dcterms:modified>
</cp:coreProperties>
</file>